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9049A" w14:textId="77777777" w:rsidR="00032F5F" w:rsidRPr="005423AA" w:rsidRDefault="00032F5F" w:rsidP="00032F5F">
      <w:pPr>
        <w:spacing w:after="0" w:line="240" w:lineRule="auto"/>
        <w:ind w:left="5103" w:right="-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3AA">
        <w:rPr>
          <w:rFonts w:ascii="Times New Roman" w:hAnsi="Times New Roman" w:cs="Times New Roman"/>
          <w:sz w:val="24"/>
          <w:szCs w:val="24"/>
        </w:rPr>
        <w:t>УТВЕРЖДЕНО</w:t>
      </w:r>
    </w:p>
    <w:p w14:paraId="7FC22CA8" w14:textId="72976A20" w:rsidR="00032F5F" w:rsidRPr="005423AA" w:rsidRDefault="00032F5F" w:rsidP="00032F5F">
      <w:pPr>
        <w:tabs>
          <w:tab w:val="left" w:pos="6663"/>
        </w:tabs>
        <w:spacing w:line="240" w:lineRule="auto"/>
        <w:ind w:left="5103" w:right="-143"/>
        <w:jc w:val="center"/>
        <w:rPr>
          <w:rFonts w:ascii="Times New Roman" w:hAnsi="Times New Roman" w:cs="Times New Roman"/>
          <w:sz w:val="24"/>
          <w:szCs w:val="24"/>
        </w:rPr>
      </w:pPr>
      <w:r w:rsidRPr="005423AA">
        <w:rPr>
          <w:rFonts w:ascii="Times New Roman" w:hAnsi="Times New Roman" w:cs="Times New Roman"/>
          <w:sz w:val="24"/>
          <w:szCs w:val="24"/>
        </w:rPr>
        <w:t>Решением Совета директоров АО МФК «</w:t>
      </w:r>
      <w:proofErr w:type="spellStart"/>
      <w:r w:rsidRPr="005423AA">
        <w:rPr>
          <w:rFonts w:ascii="Times New Roman" w:hAnsi="Times New Roman" w:cs="Times New Roman"/>
          <w:sz w:val="24"/>
          <w:szCs w:val="24"/>
        </w:rPr>
        <w:t>Займер</w:t>
      </w:r>
      <w:proofErr w:type="spellEnd"/>
      <w:r w:rsidRPr="005423AA">
        <w:rPr>
          <w:rFonts w:ascii="Times New Roman" w:hAnsi="Times New Roman" w:cs="Times New Roman"/>
          <w:sz w:val="24"/>
          <w:szCs w:val="24"/>
        </w:rPr>
        <w:t xml:space="preserve">» от </w:t>
      </w:r>
      <w:r w:rsidR="00F74999">
        <w:rPr>
          <w:rFonts w:ascii="Times New Roman" w:hAnsi="Times New Roman" w:cs="Times New Roman"/>
          <w:sz w:val="24"/>
          <w:szCs w:val="24"/>
        </w:rPr>
        <w:t>11.12</w:t>
      </w:r>
      <w:r w:rsidR="00F74999" w:rsidRPr="005423AA">
        <w:rPr>
          <w:rFonts w:ascii="Times New Roman" w:hAnsi="Times New Roman" w:cs="Times New Roman"/>
          <w:sz w:val="24"/>
          <w:szCs w:val="24"/>
        </w:rPr>
        <w:t>.</w:t>
      </w:r>
      <w:r w:rsidRPr="005423AA">
        <w:rPr>
          <w:rFonts w:ascii="Times New Roman" w:hAnsi="Times New Roman" w:cs="Times New Roman"/>
          <w:sz w:val="24"/>
          <w:szCs w:val="24"/>
        </w:rPr>
        <w:t>2023 (протокол </w:t>
      </w:r>
      <w:r w:rsidR="00F74999" w:rsidRPr="005423AA">
        <w:rPr>
          <w:rFonts w:ascii="Times New Roman" w:hAnsi="Times New Roman" w:cs="Times New Roman"/>
          <w:sz w:val="24"/>
          <w:szCs w:val="24"/>
        </w:rPr>
        <w:t>№</w:t>
      </w:r>
      <w:r w:rsidR="00F74999">
        <w:rPr>
          <w:rFonts w:ascii="Times New Roman" w:hAnsi="Times New Roman" w:cs="Times New Roman"/>
          <w:sz w:val="24"/>
          <w:szCs w:val="24"/>
        </w:rPr>
        <w:t>1</w:t>
      </w:r>
      <w:r w:rsidRPr="005423AA">
        <w:rPr>
          <w:rFonts w:ascii="Times New Roman" w:hAnsi="Times New Roman" w:cs="Times New Roman"/>
          <w:sz w:val="24"/>
          <w:szCs w:val="24"/>
        </w:rPr>
        <w:t xml:space="preserve">от </w:t>
      </w:r>
      <w:r w:rsidR="00F74999">
        <w:rPr>
          <w:rFonts w:ascii="Times New Roman" w:hAnsi="Times New Roman" w:cs="Times New Roman"/>
          <w:sz w:val="24"/>
          <w:szCs w:val="24"/>
        </w:rPr>
        <w:t>11</w:t>
      </w:r>
      <w:r w:rsidR="00F74999" w:rsidRPr="005423AA">
        <w:rPr>
          <w:rFonts w:ascii="Times New Roman" w:hAnsi="Times New Roman" w:cs="Times New Roman"/>
          <w:sz w:val="24"/>
          <w:szCs w:val="24"/>
        </w:rPr>
        <w:t>.</w:t>
      </w:r>
      <w:r w:rsidR="00F74999">
        <w:rPr>
          <w:rFonts w:ascii="Times New Roman" w:hAnsi="Times New Roman" w:cs="Times New Roman"/>
          <w:sz w:val="24"/>
          <w:szCs w:val="24"/>
        </w:rPr>
        <w:t>12</w:t>
      </w:r>
      <w:r w:rsidR="00F74999" w:rsidRPr="005423AA">
        <w:rPr>
          <w:rFonts w:ascii="Times New Roman" w:hAnsi="Times New Roman" w:cs="Times New Roman"/>
          <w:sz w:val="24"/>
          <w:szCs w:val="24"/>
        </w:rPr>
        <w:t>.</w:t>
      </w:r>
      <w:r w:rsidRPr="005423AA">
        <w:rPr>
          <w:rFonts w:ascii="Times New Roman" w:hAnsi="Times New Roman" w:cs="Times New Roman"/>
          <w:sz w:val="24"/>
          <w:szCs w:val="24"/>
        </w:rPr>
        <w:t>2023)</w:t>
      </w:r>
    </w:p>
    <w:p w14:paraId="57382962" w14:textId="77777777" w:rsidR="00E92436" w:rsidRPr="005423AA" w:rsidRDefault="00E92436">
      <w:pPr>
        <w:pStyle w:val="1"/>
        <w:spacing w:before="960" w:after="26" w:line="360" w:lineRule="auto"/>
        <w:ind w:left="0" w:right="6" w:firstLine="0"/>
        <w:rPr>
          <w:szCs w:val="24"/>
        </w:rPr>
      </w:pPr>
    </w:p>
    <w:p w14:paraId="2098744A" w14:textId="77777777" w:rsidR="00E92436" w:rsidRPr="005423AA" w:rsidRDefault="00E92436">
      <w:pPr>
        <w:pStyle w:val="1"/>
        <w:spacing w:before="960" w:after="26" w:line="360" w:lineRule="auto"/>
        <w:ind w:left="0" w:right="6" w:firstLine="0"/>
        <w:rPr>
          <w:szCs w:val="24"/>
        </w:rPr>
      </w:pPr>
    </w:p>
    <w:p w14:paraId="13B1ECA3" w14:textId="77777777" w:rsidR="00AD5279" w:rsidRPr="005423AA" w:rsidRDefault="00C046D4">
      <w:pPr>
        <w:pStyle w:val="1"/>
        <w:spacing w:before="960" w:after="26" w:line="360" w:lineRule="auto"/>
        <w:ind w:left="0" w:right="6" w:firstLine="0"/>
        <w:rPr>
          <w:sz w:val="28"/>
          <w:szCs w:val="24"/>
        </w:rPr>
      </w:pPr>
      <w:r w:rsidRPr="005423AA">
        <w:rPr>
          <w:sz w:val="28"/>
          <w:szCs w:val="24"/>
        </w:rPr>
        <w:t>ПОЛОЖЕНИЕ О ВНУТРЕННЕМ АУДИТЕ</w:t>
      </w:r>
    </w:p>
    <w:p w14:paraId="2BCFF412" w14:textId="77777777" w:rsidR="00AD5279" w:rsidRPr="005423AA" w:rsidRDefault="00C046D4">
      <w:pPr>
        <w:tabs>
          <w:tab w:val="left" w:pos="709"/>
          <w:tab w:val="left" w:pos="8080"/>
        </w:tabs>
        <w:spacing w:after="13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23AA">
        <w:rPr>
          <w:rFonts w:ascii="Times New Roman" w:hAnsi="Times New Roman" w:cs="Times New Roman"/>
          <w:b/>
          <w:sz w:val="28"/>
          <w:szCs w:val="24"/>
        </w:rPr>
        <w:t xml:space="preserve">Акционерного общества </w:t>
      </w:r>
      <w:r w:rsidR="00032F5F" w:rsidRPr="005423AA">
        <w:rPr>
          <w:rFonts w:ascii="Times New Roman" w:hAnsi="Times New Roman" w:cs="Times New Roman"/>
          <w:b/>
          <w:sz w:val="28"/>
          <w:szCs w:val="24"/>
        </w:rPr>
        <w:t>Микрофинансовая компания «</w:t>
      </w:r>
      <w:proofErr w:type="spellStart"/>
      <w:r w:rsidR="00032F5F" w:rsidRPr="005423AA">
        <w:rPr>
          <w:rFonts w:ascii="Times New Roman" w:hAnsi="Times New Roman" w:cs="Times New Roman"/>
          <w:b/>
          <w:sz w:val="28"/>
          <w:szCs w:val="24"/>
        </w:rPr>
        <w:t>Займер</w:t>
      </w:r>
      <w:proofErr w:type="spellEnd"/>
      <w:r w:rsidR="00032F5F" w:rsidRPr="005423AA">
        <w:rPr>
          <w:rFonts w:ascii="Times New Roman" w:hAnsi="Times New Roman" w:cs="Times New Roman"/>
          <w:b/>
          <w:sz w:val="28"/>
          <w:szCs w:val="24"/>
        </w:rPr>
        <w:t>»</w:t>
      </w:r>
    </w:p>
    <w:p w14:paraId="63D31B9F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34D78EBC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4C8B9252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21792D55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40CCCBAD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0BAE95BA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43B2A6EF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37BAF8AA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1AE2636F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7A0D4C59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6B36E6EB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3445B77D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719D0276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2F7450B8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1C497365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48DCA748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540A5AD5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2C4B89E0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68F530D0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215E7E9F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412C522F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5C59A64C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764D878D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1756132D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5C2A6F00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62F1420B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5C7F812D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228B8BBE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5E7CBD2E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727280A6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2DBE5292" w14:textId="77777777" w:rsidR="00E92436" w:rsidRPr="005423AA" w:rsidRDefault="00E92436" w:rsidP="00E9243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14:paraId="79728506" w14:textId="77777777" w:rsidR="00AD5279" w:rsidRPr="005423AA" w:rsidRDefault="00C046D4">
      <w:pPr>
        <w:pStyle w:val="a0"/>
        <w:rPr>
          <w:sz w:val="23"/>
          <w:szCs w:val="23"/>
        </w:rPr>
      </w:pPr>
      <w:bookmarkStart w:id="1" w:name="_Toc109032312"/>
      <w:r w:rsidRPr="005423AA">
        <w:rPr>
          <w:sz w:val="23"/>
          <w:szCs w:val="23"/>
        </w:rPr>
        <w:lastRenderedPageBreak/>
        <w:t>Введение</w:t>
      </w:r>
      <w:bookmarkEnd w:id="1"/>
    </w:p>
    <w:p w14:paraId="39663D27" w14:textId="77777777" w:rsidR="00AD5279" w:rsidRPr="005423AA" w:rsidRDefault="00C046D4" w:rsidP="00032F5F">
      <w:pPr>
        <w:pStyle w:val="a8"/>
        <w:numPr>
          <w:ilvl w:val="1"/>
          <w:numId w:val="3"/>
        </w:numPr>
        <w:tabs>
          <w:tab w:val="clear" w:pos="1418"/>
          <w:tab w:val="left" w:pos="567"/>
        </w:tabs>
        <w:ind w:left="0" w:firstLine="0"/>
        <w:rPr>
          <w:rFonts w:ascii="Times New Roman" w:hAnsi="Times New Roman" w:cs="Times New Roman"/>
          <w:color w:val="auto"/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 xml:space="preserve">Настоящее Положение о внутреннем аудите (далее – </w:t>
      </w:r>
      <w:r w:rsidRPr="005423AA">
        <w:rPr>
          <w:rFonts w:ascii="Times New Roman" w:hAnsi="Times New Roman" w:cs="Times New Roman"/>
          <w:b/>
          <w:bCs/>
          <w:color w:val="auto"/>
          <w:sz w:val="23"/>
          <w:szCs w:val="23"/>
        </w:rPr>
        <w:t>Положение</w:t>
      </w:r>
      <w:r w:rsidRPr="005423AA">
        <w:rPr>
          <w:rFonts w:ascii="Times New Roman" w:hAnsi="Times New Roman" w:cs="Times New Roman"/>
          <w:color w:val="auto"/>
          <w:sz w:val="23"/>
          <w:szCs w:val="23"/>
        </w:rPr>
        <w:t xml:space="preserve">) принято в соответствии с применимым законодательством и нормативными правовыми актами Российской Федерации, а также уставом и внутренними документами </w:t>
      </w:r>
      <w:r w:rsidR="00032F5F" w:rsidRPr="005423AA">
        <w:rPr>
          <w:rFonts w:ascii="Times New Roman" w:hAnsi="Times New Roman" w:cs="Times New Roman"/>
          <w:color w:val="auto"/>
          <w:sz w:val="23"/>
          <w:szCs w:val="23"/>
        </w:rPr>
        <w:t>Акционерного общества Микрофинансовая компания «</w:t>
      </w:r>
      <w:proofErr w:type="spellStart"/>
      <w:r w:rsidR="00032F5F" w:rsidRPr="005423AA">
        <w:rPr>
          <w:rFonts w:ascii="Times New Roman" w:hAnsi="Times New Roman" w:cs="Times New Roman"/>
          <w:color w:val="auto"/>
          <w:sz w:val="23"/>
          <w:szCs w:val="23"/>
        </w:rPr>
        <w:t>Займер</w:t>
      </w:r>
      <w:proofErr w:type="spellEnd"/>
      <w:r w:rsidR="00032F5F" w:rsidRPr="005423AA">
        <w:rPr>
          <w:rFonts w:ascii="Times New Roman" w:hAnsi="Times New Roman" w:cs="Times New Roman"/>
          <w:color w:val="auto"/>
          <w:sz w:val="23"/>
          <w:szCs w:val="23"/>
        </w:rPr>
        <w:t xml:space="preserve">» </w:t>
      </w:r>
      <w:r w:rsidRPr="005423AA">
        <w:rPr>
          <w:rFonts w:ascii="Times New Roman" w:hAnsi="Times New Roman" w:cs="Times New Roman"/>
          <w:color w:val="auto"/>
          <w:sz w:val="23"/>
          <w:szCs w:val="23"/>
        </w:rPr>
        <w:t xml:space="preserve">(далее – </w:t>
      </w:r>
      <w:r w:rsidRPr="005423AA">
        <w:rPr>
          <w:rFonts w:ascii="Times New Roman" w:hAnsi="Times New Roman" w:cs="Times New Roman"/>
          <w:b/>
          <w:bCs/>
          <w:color w:val="auto"/>
          <w:sz w:val="23"/>
          <w:szCs w:val="23"/>
        </w:rPr>
        <w:t>Общество</w:t>
      </w:r>
      <w:r w:rsidRPr="005423AA">
        <w:rPr>
          <w:rFonts w:ascii="Times New Roman" w:hAnsi="Times New Roman" w:cs="Times New Roman"/>
          <w:color w:val="auto"/>
          <w:sz w:val="23"/>
          <w:szCs w:val="23"/>
        </w:rPr>
        <w:t>).</w:t>
      </w:r>
    </w:p>
    <w:p w14:paraId="2244D251" w14:textId="77777777" w:rsidR="00AD5279" w:rsidRPr="005423AA" w:rsidRDefault="00C046D4">
      <w:pPr>
        <w:pStyle w:val="a8"/>
        <w:numPr>
          <w:ilvl w:val="1"/>
          <w:numId w:val="3"/>
        </w:numPr>
        <w:tabs>
          <w:tab w:val="clear" w:pos="1418"/>
          <w:tab w:val="left" w:pos="567"/>
          <w:tab w:val="left" w:pos="621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Положение содержит цели, функции и задачи, общую характеристику и процедуры функционирования подразделения внутреннего аудита, определяет права и обязанности подразделения внутреннего аудита и права и обязанности его сотрудников.</w:t>
      </w:r>
    </w:p>
    <w:p w14:paraId="45453C66" w14:textId="77777777" w:rsidR="00AD5279" w:rsidRPr="005423AA" w:rsidRDefault="00C046D4">
      <w:pPr>
        <w:pStyle w:val="a8"/>
        <w:numPr>
          <w:ilvl w:val="1"/>
          <w:numId w:val="3"/>
        </w:numPr>
        <w:tabs>
          <w:tab w:val="clear" w:pos="1418"/>
          <w:tab w:val="left" w:pos="567"/>
          <w:tab w:val="left" w:pos="621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 xml:space="preserve">Внутренний аудит в Обществе осуществляется специально созданным внутренним подразделением Общества (далее – </w:t>
      </w:r>
      <w:r w:rsidRPr="005423AA">
        <w:rPr>
          <w:rFonts w:ascii="Times New Roman" w:hAnsi="Times New Roman" w:cs="Times New Roman"/>
          <w:b/>
          <w:bCs/>
          <w:color w:val="auto"/>
          <w:sz w:val="23"/>
          <w:szCs w:val="23"/>
        </w:rPr>
        <w:t>Подразделение внутреннего аудита, Подразделение</w:t>
      </w:r>
      <w:r w:rsidRPr="005423AA">
        <w:rPr>
          <w:rFonts w:ascii="Times New Roman" w:hAnsi="Times New Roman" w:cs="Times New Roman"/>
          <w:color w:val="auto"/>
          <w:sz w:val="23"/>
          <w:szCs w:val="23"/>
        </w:rPr>
        <w:t>). Целью деятельности Подразделения внутреннего аудита Общества является обеспечение эффективности функционирования всех видов деятельности на всех уровнях управления Общества, проведение независимых и объективных внутренних аудиторских проверок на основе риск-ориентированного подхода, а также защита законных интересов Общества и его акционеров.</w:t>
      </w:r>
    </w:p>
    <w:p w14:paraId="0C2B0021" w14:textId="77777777" w:rsidR="00AD5279" w:rsidRPr="005423AA" w:rsidRDefault="00C046D4">
      <w:pPr>
        <w:pStyle w:val="a0"/>
        <w:rPr>
          <w:sz w:val="23"/>
          <w:szCs w:val="23"/>
        </w:rPr>
      </w:pPr>
      <w:bookmarkStart w:id="2" w:name="_Toc1968195051"/>
      <w:bookmarkStart w:id="3" w:name="_Toc1968133741"/>
      <w:bookmarkStart w:id="4" w:name="_Toc109032313"/>
      <w:bookmarkEnd w:id="2"/>
      <w:bookmarkEnd w:id="3"/>
      <w:r w:rsidRPr="005423AA">
        <w:rPr>
          <w:sz w:val="23"/>
          <w:szCs w:val="23"/>
        </w:rPr>
        <w:t>Организация, функции и задачи Подразделения внутреннего аудита</w:t>
      </w:r>
      <w:bookmarkEnd w:id="4"/>
    </w:p>
    <w:p w14:paraId="68B0BB1E" w14:textId="016FB094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 xml:space="preserve">Подразделение внутреннего аудита осуществляет внутренний аудит и анализ в соответствии с </w:t>
      </w:r>
      <w:r w:rsidR="00E73811" w:rsidRPr="005423AA">
        <w:rPr>
          <w:sz w:val="23"/>
          <w:szCs w:val="23"/>
        </w:rPr>
        <w:t xml:space="preserve">квартальным </w:t>
      </w:r>
      <w:r w:rsidRPr="005423AA">
        <w:rPr>
          <w:sz w:val="23"/>
          <w:szCs w:val="23"/>
        </w:rPr>
        <w:t xml:space="preserve">планом аудита, одобренным Комитетом Совета директоров Общества по аудиту (далее – </w:t>
      </w:r>
      <w:r w:rsidRPr="005423AA">
        <w:rPr>
          <w:b/>
          <w:bCs/>
          <w:sz w:val="23"/>
          <w:szCs w:val="23"/>
        </w:rPr>
        <w:t>Комитет по аудиту</w:t>
      </w:r>
      <w:r w:rsidRPr="005423AA">
        <w:rPr>
          <w:sz w:val="23"/>
          <w:szCs w:val="23"/>
        </w:rPr>
        <w:t>).</w:t>
      </w:r>
    </w:p>
    <w:p w14:paraId="5F075287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Основными задачами Подразделения внутреннего аудита являются:</w:t>
      </w:r>
    </w:p>
    <w:p w14:paraId="36F5DCB6" w14:textId="77777777" w:rsidR="00AD5279" w:rsidRPr="005423AA" w:rsidRDefault="00C046D4">
      <w:pPr>
        <w:pStyle w:val="af"/>
        <w:numPr>
          <w:ilvl w:val="2"/>
          <w:numId w:val="3"/>
        </w:numPr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содействие исполнительным органам и работникам Общества в разработке и мониторинге исполнения процедур и мероприятий по совершенствованию системы управления рисками и внутреннего контроля, корпоративному управлению Обществом;</w:t>
      </w:r>
    </w:p>
    <w:p w14:paraId="1120F987" w14:textId="77777777" w:rsidR="00AD5279" w:rsidRPr="005423AA" w:rsidRDefault="00C046D4">
      <w:pPr>
        <w:pStyle w:val="af"/>
        <w:numPr>
          <w:ilvl w:val="2"/>
          <w:numId w:val="3"/>
        </w:numPr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аудит бизнес-процессов, совершаемых структурными подразделениями и работниками Общества, для достижения основных целей Общества;</w:t>
      </w:r>
    </w:p>
    <w:p w14:paraId="3911677E" w14:textId="77777777" w:rsidR="00AD5279" w:rsidRPr="005423AA" w:rsidRDefault="00C046D4">
      <w:pPr>
        <w:pStyle w:val="af"/>
        <w:numPr>
          <w:ilvl w:val="2"/>
          <w:numId w:val="3"/>
        </w:numPr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подготовка и предоставление Комитету по аудиту и Совету директоров Общества  отчетов по результатам деятельности Подразделения, которые, в том числе, включают информацию о существенных рисках, недостатках, результатах и эффективности выполнения мероприятий по устранению выявленных недостатков, результатах выполнения плана деятельности Подразделения внутреннего аудита, результатах оценки фактического состояния, надежности и эффективности системы управления рисками, внутреннего контроля и корпоративного управления;</w:t>
      </w:r>
    </w:p>
    <w:p w14:paraId="6BBC1022" w14:textId="77777777" w:rsidR="00AD5279" w:rsidRPr="005423AA" w:rsidRDefault="00C046D4">
      <w:pPr>
        <w:pStyle w:val="af"/>
        <w:numPr>
          <w:ilvl w:val="2"/>
          <w:numId w:val="3"/>
        </w:numPr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проверка соблюдения единоличным исполнительным органом Общества и работниками Общества положений законодательства и внутренних политик Общества, касающихся инсайдерской информации;</w:t>
      </w:r>
    </w:p>
    <w:p w14:paraId="28C3CD82" w14:textId="77777777" w:rsidR="00AD5279" w:rsidRPr="005423AA" w:rsidRDefault="00C046D4">
      <w:pPr>
        <w:pStyle w:val="af"/>
        <w:numPr>
          <w:ilvl w:val="2"/>
          <w:numId w:val="3"/>
        </w:numPr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взаимодействие с Советом директоров Общества, комитетами при Совете директоров Общества и аудиторской организацией Общества.</w:t>
      </w:r>
    </w:p>
    <w:p w14:paraId="7AAFB017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Подразделение внутреннего аудита является структурным подразделением Общества.</w:t>
      </w:r>
    </w:p>
    <w:p w14:paraId="41036794" w14:textId="34D5C94D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 xml:space="preserve">Организационная структура, бюджет и </w:t>
      </w:r>
      <w:r w:rsidR="00E73811" w:rsidRPr="005423AA">
        <w:rPr>
          <w:sz w:val="23"/>
          <w:szCs w:val="23"/>
        </w:rPr>
        <w:t xml:space="preserve">квартальный </w:t>
      </w:r>
      <w:r w:rsidRPr="005423AA">
        <w:rPr>
          <w:sz w:val="23"/>
          <w:szCs w:val="23"/>
        </w:rPr>
        <w:t>план аудита Подразделения внутреннего аудита должны быть одобрены Комитетом по аудиту и согласованы Советом директоров.</w:t>
      </w:r>
    </w:p>
    <w:p w14:paraId="3AA9711B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Подразделение внутреннего аудита при осуществлении своей деятельности руководствуется принципами независимости, объективности, компетентности и профессионализма.</w:t>
      </w:r>
    </w:p>
    <w:p w14:paraId="1164F892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 xml:space="preserve">Подразделение внутреннего аудита оценивает эффективность систем внутреннего контроля Общества и его дочерних и подконтрольных компаний и предлагает рекомендации по </w:t>
      </w:r>
      <w:r w:rsidRPr="005423AA">
        <w:rPr>
          <w:sz w:val="23"/>
          <w:szCs w:val="23"/>
        </w:rPr>
        <w:lastRenderedPageBreak/>
        <w:t>результатам оценки. В рамках указанной функции Подразделение реализует следующие мероприятия:</w:t>
      </w:r>
    </w:p>
    <w:p w14:paraId="69A0B1C2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анализ соответствия целей бизнес-процессов, проектов и структурных подразделений целям Общества, проверку обеспечения надежности и целостности бизнес-процессов (деятельности) и информационных систем, в том числе надежности процедур противодействия противоправным действиям, злоупотреблениям и коррупции;</w:t>
      </w:r>
    </w:p>
    <w:p w14:paraId="54D04C92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обеспечения достоверности бухгалтерской (финансовой), статистической, управленческой и иной отчетности; определение того, насколько результаты деятельности бизнес-процессов и структурных подразделений Общества соответствуют поставленным целям;</w:t>
      </w:r>
    </w:p>
    <w:p w14:paraId="561668DC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определение адекватности критериев, установленных Генеральным директором для анализа степени исполнения (достижения) поставленных целей;</w:t>
      </w:r>
    </w:p>
    <w:p w14:paraId="34C1A85F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выявление недостатков системы внутреннего контроля, которые не позволили (не позволяют) Обществу достичь поставленных целей;</w:t>
      </w:r>
    </w:p>
    <w:p w14:paraId="0465264C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оценку результатов внедрения (реализации) мероприятий по устранению нарушений, недостатков и совершенствованию системы внутреннего контроля, реализуемых Обществом на всех уровнях управления;</w:t>
      </w:r>
    </w:p>
    <w:p w14:paraId="377AE6A9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эффективности и целесообразности использования ресурсов;</w:t>
      </w:r>
    </w:p>
    <w:p w14:paraId="00EFABF4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обеспечения сохранности активов;</w:t>
      </w:r>
    </w:p>
    <w:p w14:paraId="05A458DB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соблюдения требований законодательства, устава и внутренних документов Общества.</w:t>
      </w:r>
    </w:p>
    <w:p w14:paraId="0CF1794B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 xml:space="preserve"> Подразделение внутреннего аудита оценивает эффективность процесса управления рисками в Обществе и предлагает рекомендации по результатам таких оценок. В рамках указанной функции Подразделение реализует следующие мероприятия:</w:t>
      </w:r>
    </w:p>
    <w:p w14:paraId="26C6E5E8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достаточности и состоятельности элементов системы управления рисками для эффективного управления рисками (цели и задачи, инфраструктура, организация процессов, нормативно-методологическое обеспечение, взаимодействие структурных подразделений в рамках системы управления рисками, отчетность);</w:t>
      </w:r>
    </w:p>
    <w:p w14:paraId="376EBD92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полноты выявления и корректности оценки рисков руководством Общества на всех уровнях его управления;</w:t>
      </w:r>
    </w:p>
    <w:p w14:paraId="2E6B5040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эффективности контрольных процедур и иных мероприятий по управлению рисками, включая эффективность использования выделенных на эти цели ресурсов;</w:t>
      </w:r>
    </w:p>
    <w:p w14:paraId="65F2624B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эффективности мер реагирования на риски и их удержание в пределах риск-аппетита Общества;</w:t>
      </w:r>
    </w:p>
    <w:p w14:paraId="1EB1B62F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порядка сбора и обмена информацией о рисках внутри Общества для обеспечения надлежащего реагирования на риски;</w:t>
      </w:r>
    </w:p>
    <w:p w14:paraId="22A6E1DF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проведение анализа информации о реализовавшихся рисках (выявленных по результатам внутренних аудиторских проверок нарушениях, фактах недостижения поставленных целей, фактах судебных разбирательств).</w:t>
      </w:r>
    </w:p>
    <w:p w14:paraId="7733F5B6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Подразделение внутреннего аудита осуществляет оценку корпоративного управления в Обществе и предлагает рекомендации по результатам таких оценок. В рамках указанной функции Подразделение реализует следующие мероприятия:</w:t>
      </w:r>
    </w:p>
    <w:p w14:paraId="1F662ED2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соблюдения этических принципов и корпоративных ценностей Общества;</w:t>
      </w:r>
    </w:p>
    <w:p w14:paraId="2E1EF0C0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порядка постановки целей Общества, мониторинга и контроля их достижения;</w:t>
      </w:r>
    </w:p>
    <w:p w14:paraId="7406D402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процесса принятия стратегических и операционных решений в Обществе;</w:t>
      </w:r>
    </w:p>
    <w:p w14:paraId="45003DE6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lastRenderedPageBreak/>
        <w:t>проверку уровня нормативного обеспечения и процедур информационного взаимодействия (в том числе по вопросам внутреннего контроля и управления рисками) на всех уровнях управления Общества, включая взаимодействие с заинтересованными сторонами;</w:t>
      </w:r>
    </w:p>
    <w:p w14:paraId="35536D0F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обеспечения прав акционеров и эффективности взаимоотношений с заинтересованными сторонами;</w:t>
      </w:r>
    </w:p>
    <w:p w14:paraId="5C8B9D62" w14:textId="77777777" w:rsidR="00AD5279" w:rsidRPr="005423AA" w:rsidRDefault="00C046D4">
      <w:pPr>
        <w:pStyle w:val="af"/>
        <w:numPr>
          <w:ilvl w:val="2"/>
          <w:numId w:val="3"/>
        </w:numPr>
        <w:tabs>
          <w:tab w:val="left" w:pos="709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проверку процедур раскрытия информации о деятельности Общества и подконтрольных организаций, и прочее.</w:t>
      </w:r>
    </w:p>
    <w:p w14:paraId="732196A2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 xml:space="preserve"> Подразделение внутреннего аудита проводит аудит в области </w:t>
      </w:r>
      <w:r w:rsidRPr="005423AA">
        <w:rPr>
          <w:sz w:val="23"/>
          <w:szCs w:val="23"/>
          <w:lang w:val="en-US"/>
        </w:rPr>
        <w:t>IT</w:t>
      </w:r>
      <w:r w:rsidRPr="005423AA">
        <w:rPr>
          <w:sz w:val="23"/>
          <w:szCs w:val="23"/>
        </w:rPr>
        <w:t>, а именно, оценку безопасности и эффективности информационных систем Общества и его дочерних и подконтрольных компаний на предмет конфиденциальности, достоверности и наличия данных и процессов их обработки.</w:t>
      </w:r>
    </w:p>
    <w:p w14:paraId="6A9CC37A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 xml:space="preserve"> Подразделение внутреннего аудита предоставляет необходимые консультации руководству Общества, его дочерним и подконтрольным компаниям по соответствующим планам корректировочных действий, вытекающих из осуществляемого им аудита, и оценивает эффективность реализации руководством корректировочных действий согласно таким планам.</w:t>
      </w:r>
    </w:p>
    <w:p w14:paraId="1B041EA0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 xml:space="preserve"> Подразделение внутреннего аудита взаимодействует с другими подразделениями Общества.</w:t>
      </w:r>
    </w:p>
    <w:p w14:paraId="0817AAE8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Подразделение внутреннего аудита предоставляет руководству Общества необходимые консультации по вопросам, относящимся к организации внутреннего контроля и управления рисками, а также по любым другим вопросам, которые относятся к компетенции Подразделения, определенной в Положении.</w:t>
      </w:r>
    </w:p>
    <w:p w14:paraId="0F044466" w14:textId="77777777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По требованию Совета директоров Общества Подразделение внутреннего аудита выполняет иные специальные поручения, включая расследования по поводу мошенничества.</w:t>
      </w:r>
    </w:p>
    <w:p w14:paraId="31C0C6C9" w14:textId="089856E9" w:rsidR="00AD5279" w:rsidRPr="005423AA" w:rsidRDefault="00C046D4">
      <w:pPr>
        <w:pStyle w:val="af"/>
        <w:numPr>
          <w:ilvl w:val="1"/>
          <w:numId w:val="3"/>
        </w:numPr>
        <w:tabs>
          <w:tab w:val="left" w:pos="567"/>
        </w:tabs>
        <w:spacing w:before="120" w:after="120"/>
        <w:ind w:left="0" w:firstLine="0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 xml:space="preserve">Комитет по аудиту вправе привлекать Подразделение внутреннего аудита для участия в других проектах, выходящих за пределы утвержденного </w:t>
      </w:r>
      <w:r w:rsidR="00E73811" w:rsidRPr="005423AA">
        <w:rPr>
          <w:sz w:val="23"/>
          <w:szCs w:val="23"/>
        </w:rPr>
        <w:t xml:space="preserve">квартального </w:t>
      </w:r>
      <w:r w:rsidRPr="005423AA">
        <w:rPr>
          <w:sz w:val="23"/>
          <w:szCs w:val="23"/>
        </w:rPr>
        <w:t>плана аудита.</w:t>
      </w:r>
    </w:p>
    <w:p w14:paraId="4B96DCAB" w14:textId="77777777" w:rsidR="00AD5279" w:rsidRPr="005423AA" w:rsidRDefault="00C046D4">
      <w:pPr>
        <w:pStyle w:val="a0"/>
        <w:rPr>
          <w:sz w:val="23"/>
          <w:szCs w:val="23"/>
        </w:rPr>
      </w:pPr>
      <w:bookmarkStart w:id="5" w:name="_Toc9845845"/>
      <w:bookmarkStart w:id="6" w:name="_Toc109032314"/>
      <w:bookmarkEnd w:id="5"/>
      <w:r w:rsidRPr="005423AA">
        <w:rPr>
          <w:sz w:val="23"/>
          <w:szCs w:val="23"/>
        </w:rPr>
        <w:t>Подотчетность и независимость</w:t>
      </w:r>
      <w:bookmarkEnd w:id="6"/>
    </w:p>
    <w:p w14:paraId="759C692E" w14:textId="574ACFA5" w:rsidR="00AD5279" w:rsidRPr="005423AA" w:rsidRDefault="00C046D4">
      <w:pPr>
        <w:pStyle w:val="ac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Для обеспечения независимости Подразделения внутреннего аудита его Руководитель административно подотчетен Генеральному директору Общества, а в функциональном отношении – Совету директоров Общества. Руководитель отвечает за планирование и организацию работы Подразделения внутреннего аудита, а также выполнение </w:t>
      </w:r>
      <w:r w:rsidR="00E73811"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квартального </w:t>
      </w: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плана аудита.</w:t>
      </w:r>
    </w:p>
    <w:p w14:paraId="0C7BFA7B" w14:textId="77777777" w:rsidR="00AD5279" w:rsidRPr="005423AA" w:rsidRDefault="00C046D4">
      <w:pPr>
        <w:pStyle w:val="ac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Руководитель Подразделения внутреннего аудита не должен осуществлять управление функциональными направлениями деятельности Общества, требующими принятия управленческих решений в отношении объектов аудита.</w:t>
      </w:r>
    </w:p>
    <w:p w14:paraId="0B450266" w14:textId="77777777" w:rsidR="00AD5279" w:rsidRPr="005423AA" w:rsidRDefault="00C046D4">
      <w:pPr>
        <w:pStyle w:val="ac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Совет директоров принимает решения о назначении на должность и об освобождении от должности Руководителя Подразделения внутреннего аудита, а также принимает решение об утверждении условий трудового договора (иного договора, оформляющего трудовые отношения) с ним, включая размер вознаграждения, после предварительного рассмотрения указанных вопросов Комитетом по аудиту. Генеральный директор назначает Руководителя Подразделения только на основании решения Совета директоров. </w:t>
      </w:r>
    </w:p>
    <w:p w14:paraId="7179C1FE" w14:textId="030526AA" w:rsidR="00AD5279" w:rsidRPr="005423AA" w:rsidRDefault="00C046D4">
      <w:pPr>
        <w:pStyle w:val="ac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Ежегодно Руководитель направляет Комитету по аудиту предложения по организационной структуре Подразделения внутреннего аудита</w:t>
      </w:r>
      <w:r w:rsid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и</w:t>
      </w: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его бюджету</w:t>
      </w:r>
      <w:r w:rsidR="005423AA">
        <w:rPr>
          <w:rFonts w:ascii="Times New Roman" w:hAnsi="Times New Roman" w:cs="Times New Roman"/>
          <w:b w:val="0"/>
          <w:color w:val="auto"/>
          <w:sz w:val="23"/>
          <w:szCs w:val="23"/>
        </w:rPr>
        <w:t>, а также ежеквартально направляет предложения по</w:t>
      </w: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плану аудита</w:t>
      </w:r>
      <w:r w:rsid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на следующий квартал</w:t>
      </w: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.</w:t>
      </w:r>
    </w:p>
    <w:p w14:paraId="67141D4A" w14:textId="77A8F4DD" w:rsidR="00AD5279" w:rsidRPr="005423AA" w:rsidRDefault="00C046D4">
      <w:pPr>
        <w:pStyle w:val="ac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Руководитель регулярно представляет Комитету по аудиту и Генеральному директору краткие отчеты о деятельности Подразделения внутреннего аудита за квартал, указывая необходимые сведения о:</w:t>
      </w:r>
    </w:p>
    <w:p w14:paraId="09B48F01" w14:textId="27C6A977" w:rsidR="00AD5279" w:rsidRPr="005423AA" w:rsidRDefault="00C046D4">
      <w:pPr>
        <w:pStyle w:val="ac"/>
        <w:numPr>
          <w:ilvl w:val="0"/>
          <w:numId w:val="6"/>
        </w:numPr>
        <w:ind w:left="851" w:hanging="284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этапах</w:t>
      </w:r>
      <w:r w:rsidR="007A02DD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(результатах)</w:t>
      </w: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 выполнения </w:t>
      </w:r>
      <w:r w:rsidR="00E73811"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 xml:space="preserve">квартального </w:t>
      </w: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плана аудита;</w:t>
      </w:r>
    </w:p>
    <w:p w14:paraId="6EDEDB26" w14:textId="77777777" w:rsidR="00AD5279" w:rsidRPr="005423AA" w:rsidRDefault="00C046D4">
      <w:pPr>
        <w:pStyle w:val="ac"/>
        <w:numPr>
          <w:ilvl w:val="0"/>
          <w:numId w:val="6"/>
        </w:numPr>
        <w:ind w:left="851" w:hanging="284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lastRenderedPageBreak/>
        <w:t>существенных недостатках и низкой эффективности системы внутреннего контроля, процессе управления рисками и соответствующих планах корректирующих действий руководства;</w:t>
      </w:r>
    </w:p>
    <w:p w14:paraId="768A2D13" w14:textId="77777777" w:rsidR="00AD5279" w:rsidRPr="005423AA" w:rsidRDefault="00C046D4">
      <w:pPr>
        <w:pStyle w:val="ac"/>
        <w:numPr>
          <w:ilvl w:val="0"/>
          <w:numId w:val="6"/>
        </w:numPr>
        <w:ind w:left="851" w:hanging="284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результатах осуществления руководством планов корректирующих действий, выработанных по итогам аудита;</w:t>
      </w:r>
    </w:p>
    <w:p w14:paraId="2DF01DE0" w14:textId="77777777" w:rsidR="00AD5279" w:rsidRPr="005423AA" w:rsidRDefault="00C046D4">
      <w:pPr>
        <w:pStyle w:val="ac"/>
        <w:numPr>
          <w:ilvl w:val="0"/>
          <w:numId w:val="6"/>
        </w:numPr>
        <w:ind w:left="851" w:hanging="284"/>
        <w:rPr>
          <w:sz w:val="23"/>
          <w:szCs w:val="23"/>
        </w:rPr>
      </w:pPr>
      <w:r w:rsidRPr="005423AA">
        <w:rPr>
          <w:rFonts w:ascii="Times New Roman" w:hAnsi="Times New Roman" w:cs="Times New Roman"/>
          <w:b w:val="0"/>
          <w:color w:val="auto"/>
          <w:sz w:val="23"/>
          <w:szCs w:val="23"/>
        </w:rPr>
        <w:t>существенных препятствиях, ограничениях полномочий и/или бюджета на реализацию внутреннего аудита, способных негативно повлиять на эффективное выполнение Подразделением внутреннего аудита своих обязанностей, а также о предлагаемых мерах по устранению таких препятствий и ограничений.3.6. В своей деятельности сотрудники Подразделения внутреннего аудита руководствуются Положением, внутренними документами Общества, международными стандартами профессиональной деятельности в области внутреннего аудита, кодексом этики международного института внутренних аудиторов, а также другими документами, регулирующими деятельность внутренних аудиторов.</w:t>
      </w:r>
    </w:p>
    <w:p w14:paraId="6FB6EA79" w14:textId="77777777" w:rsidR="00AD5279" w:rsidRPr="005423AA" w:rsidRDefault="00C046D4">
      <w:pPr>
        <w:pStyle w:val="a8"/>
        <w:numPr>
          <w:ilvl w:val="1"/>
          <w:numId w:val="3"/>
        </w:numPr>
        <w:tabs>
          <w:tab w:val="left" w:pos="851"/>
        </w:tabs>
        <w:ind w:left="567" w:hanging="567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Руководитель уполномочен:</w:t>
      </w:r>
    </w:p>
    <w:p w14:paraId="574E0477" w14:textId="77777777" w:rsidR="00AD5279" w:rsidRPr="005423AA" w:rsidRDefault="00C046D4">
      <w:pPr>
        <w:pStyle w:val="a8"/>
        <w:numPr>
          <w:ilvl w:val="0"/>
          <w:numId w:val="7"/>
        </w:numPr>
        <w:tabs>
          <w:tab w:val="left" w:pos="1236"/>
        </w:tabs>
        <w:ind w:left="851" w:hanging="284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напрямую обращаться к Председателю Комитета по аудиту;</w:t>
      </w:r>
    </w:p>
    <w:p w14:paraId="670E2145" w14:textId="77777777" w:rsidR="00AD5279" w:rsidRPr="005423AA" w:rsidRDefault="00C046D4">
      <w:pPr>
        <w:pStyle w:val="a8"/>
        <w:numPr>
          <w:ilvl w:val="0"/>
          <w:numId w:val="7"/>
        </w:numPr>
        <w:tabs>
          <w:tab w:val="left" w:pos="1236"/>
        </w:tabs>
        <w:ind w:left="851" w:hanging="284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запрашивать информацию и документы, необходимые для выполнения поручений в рамках внутреннего аудита у любого соответствующего должностного лица Общества;</w:t>
      </w:r>
    </w:p>
    <w:p w14:paraId="241F3E51" w14:textId="77777777" w:rsidR="00AD5279" w:rsidRPr="005423AA" w:rsidRDefault="00C046D4">
      <w:pPr>
        <w:pStyle w:val="a8"/>
        <w:numPr>
          <w:ilvl w:val="0"/>
          <w:numId w:val="7"/>
        </w:numPr>
        <w:tabs>
          <w:tab w:val="left" w:pos="1236"/>
        </w:tabs>
        <w:ind w:left="851" w:hanging="284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получать информацию о существующих и перспективных стратегических планах Общества и проектах решений и резолюций органов управления;</w:t>
      </w:r>
    </w:p>
    <w:p w14:paraId="5DA672A1" w14:textId="77777777" w:rsidR="00AD5279" w:rsidRPr="005423AA" w:rsidRDefault="00C046D4">
      <w:pPr>
        <w:pStyle w:val="a8"/>
        <w:numPr>
          <w:ilvl w:val="0"/>
          <w:numId w:val="7"/>
        </w:numPr>
        <w:tabs>
          <w:tab w:val="left" w:pos="1236"/>
        </w:tabs>
        <w:ind w:left="851" w:hanging="284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информировать Комитет по аудиту о предложениях по повышению качества системы внутреннего контроля, существующих систем, процессов, стандартов повседневной деятельности Общества и другим вопросам в рамках полномочий Подразделения внутреннего аудита в порядке, определенном в настоящем Положении;</w:t>
      </w:r>
    </w:p>
    <w:p w14:paraId="55887616" w14:textId="77777777" w:rsidR="00AD5279" w:rsidRPr="005423AA" w:rsidRDefault="00C046D4">
      <w:pPr>
        <w:pStyle w:val="af"/>
        <w:numPr>
          <w:ilvl w:val="0"/>
          <w:numId w:val="7"/>
        </w:numPr>
        <w:spacing w:before="120" w:after="120"/>
        <w:ind w:left="851" w:hanging="284"/>
        <w:contextualSpacing w:val="0"/>
        <w:jc w:val="both"/>
        <w:rPr>
          <w:sz w:val="23"/>
          <w:szCs w:val="23"/>
        </w:rPr>
      </w:pPr>
      <w:r w:rsidRPr="005423AA">
        <w:rPr>
          <w:sz w:val="23"/>
          <w:szCs w:val="23"/>
        </w:rPr>
        <w:t>привлекать сторонних экспертов к выполнению поручений по аудиту после получения соответствующего одобрения Комитета по аудиту.</w:t>
      </w:r>
    </w:p>
    <w:p w14:paraId="6F26FD89" w14:textId="77777777" w:rsidR="00AD5279" w:rsidRPr="005423AA" w:rsidRDefault="00C046D4">
      <w:pPr>
        <w:pStyle w:val="a8"/>
        <w:numPr>
          <w:ilvl w:val="1"/>
          <w:numId w:val="3"/>
        </w:numPr>
        <w:ind w:left="567" w:hanging="567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Сотрудники Подразделения внутреннего аудита уполномочены:</w:t>
      </w:r>
    </w:p>
    <w:p w14:paraId="45D95EEA" w14:textId="77777777" w:rsidR="00AD5279" w:rsidRPr="005423AA" w:rsidRDefault="00C046D4">
      <w:pPr>
        <w:pStyle w:val="a8"/>
        <w:numPr>
          <w:ilvl w:val="0"/>
          <w:numId w:val="4"/>
        </w:numPr>
        <w:tabs>
          <w:tab w:val="clear" w:pos="1418"/>
          <w:tab w:val="left" w:pos="960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требовать предоставления любой информации и доступа к любым активам, документам, бухгалтерской документации и прочей информации, а также делать копии документов, необходимых для исполнения их должностных обязанностей;</w:t>
      </w:r>
    </w:p>
    <w:p w14:paraId="3F1B1172" w14:textId="77777777" w:rsidR="00AD5279" w:rsidRPr="005423AA" w:rsidRDefault="00C046D4">
      <w:pPr>
        <w:pStyle w:val="a8"/>
        <w:numPr>
          <w:ilvl w:val="0"/>
          <w:numId w:val="4"/>
        </w:numPr>
        <w:tabs>
          <w:tab w:val="clear" w:pos="1418"/>
          <w:tab w:val="left" w:pos="960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опрашивать должностных лиц и сотрудников Общества;</w:t>
      </w:r>
    </w:p>
    <w:p w14:paraId="0C792579" w14:textId="77777777" w:rsidR="00AD5279" w:rsidRPr="005423AA" w:rsidRDefault="00C046D4">
      <w:pPr>
        <w:pStyle w:val="a8"/>
        <w:numPr>
          <w:ilvl w:val="0"/>
          <w:numId w:val="4"/>
        </w:numPr>
        <w:tabs>
          <w:tab w:val="clear" w:pos="1418"/>
          <w:tab w:val="left" w:pos="960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анализировать и изучать документы, затребованные в процессе аудита, и направлять Руководителю Подразделения внутреннего аудита копии таких документов и/или соответствующую информацию;</w:t>
      </w:r>
    </w:p>
    <w:p w14:paraId="1E9F4B61" w14:textId="77777777" w:rsidR="00AD5279" w:rsidRPr="005423AA" w:rsidRDefault="00C046D4">
      <w:pPr>
        <w:pStyle w:val="a8"/>
        <w:numPr>
          <w:ilvl w:val="0"/>
          <w:numId w:val="4"/>
        </w:numPr>
        <w:tabs>
          <w:tab w:val="clear" w:pos="1418"/>
          <w:tab w:val="left" w:pos="960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осуществлять мониторинг корректирующих действий руководства по результатам проведения аудита;</w:t>
      </w:r>
    </w:p>
    <w:p w14:paraId="601B9975" w14:textId="77777777" w:rsidR="00AD5279" w:rsidRPr="005423AA" w:rsidRDefault="00C046D4">
      <w:pPr>
        <w:pStyle w:val="a8"/>
        <w:numPr>
          <w:ilvl w:val="0"/>
          <w:numId w:val="4"/>
        </w:numPr>
        <w:tabs>
          <w:tab w:val="clear" w:pos="1418"/>
          <w:tab w:val="left" w:pos="960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представлять предложения по улучшению существующих систем, процессов и стандартов работы Подразделения внутреннего аудита, а также готовить для Руководителя Подразделения внутреннего аудита комментарии в той или иной области полномочий Подразделения внутреннего аудита.</w:t>
      </w:r>
    </w:p>
    <w:p w14:paraId="1DDB19D0" w14:textId="77777777" w:rsidR="00AD5279" w:rsidRPr="005423AA" w:rsidRDefault="00C046D4">
      <w:pPr>
        <w:pStyle w:val="a0"/>
        <w:rPr>
          <w:sz w:val="23"/>
          <w:szCs w:val="23"/>
        </w:rPr>
      </w:pPr>
      <w:bookmarkStart w:id="7" w:name="_Toc109032316"/>
      <w:r w:rsidRPr="005423AA">
        <w:rPr>
          <w:sz w:val="23"/>
          <w:szCs w:val="23"/>
        </w:rPr>
        <w:t>Ограничения</w:t>
      </w:r>
      <w:bookmarkEnd w:id="7"/>
    </w:p>
    <w:p w14:paraId="797A0126" w14:textId="77777777" w:rsidR="00AD5279" w:rsidRPr="005423AA" w:rsidRDefault="00C046D4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Руководитель Подразделения внутреннего аудита и внутренние аудиторы ни при каких обстоятельствах не должны:</w:t>
      </w:r>
    </w:p>
    <w:p w14:paraId="588AFEAC" w14:textId="77777777" w:rsidR="00AD5279" w:rsidRPr="005423AA" w:rsidRDefault="00C046D4">
      <w:pPr>
        <w:pStyle w:val="aa"/>
        <w:numPr>
          <w:ilvl w:val="0"/>
          <w:numId w:val="5"/>
        </w:numPr>
        <w:tabs>
          <w:tab w:val="clear" w:pos="1789"/>
          <w:tab w:val="clear" w:pos="2575"/>
          <w:tab w:val="clear" w:pos="2858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исполнять функциональные обязанности в рамках Общества, его дочерних и подконтрольных обществ, которые не имеют отношения к аспектам внутреннего аудита, предусмотренным Положением;</w:t>
      </w:r>
    </w:p>
    <w:p w14:paraId="6758EDAA" w14:textId="77777777" w:rsidR="00AD5279" w:rsidRPr="005423AA" w:rsidRDefault="00C046D4">
      <w:pPr>
        <w:pStyle w:val="aa"/>
        <w:numPr>
          <w:ilvl w:val="0"/>
          <w:numId w:val="5"/>
        </w:numPr>
        <w:tabs>
          <w:tab w:val="clear" w:pos="1789"/>
          <w:tab w:val="clear" w:pos="2575"/>
          <w:tab w:val="clear" w:pos="2858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lastRenderedPageBreak/>
        <w:t>инициировать, санкционировать и осуществлять сделки, прямо не относящиеся к их должностным обязанностям;</w:t>
      </w:r>
    </w:p>
    <w:p w14:paraId="59A28326" w14:textId="77777777" w:rsidR="00AD5279" w:rsidRPr="005423AA" w:rsidRDefault="00C046D4">
      <w:pPr>
        <w:pStyle w:val="aa"/>
        <w:numPr>
          <w:ilvl w:val="0"/>
          <w:numId w:val="5"/>
        </w:numPr>
        <w:tabs>
          <w:tab w:val="clear" w:pos="1789"/>
          <w:tab w:val="clear" w:pos="2575"/>
          <w:tab w:val="clear" w:pos="2858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осуществлять управление и контроль в отношении сотрудников других подразделений Общества, его дочерних и подконтрольных обществ, кроме тех случаев, когда такие сотрудники назначены для выполнения задач внутреннего аудита в пределах обязанностей Подразделения внутреннего аудита;</w:t>
      </w:r>
    </w:p>
    <w:p w14:paraId="4A8E3454" w14:textId="77777777" w:rsidR="00AD5279" w:rsidRPr="005423AA" w:rsidRDefault="00C046D4">
      <w:pPr>
        <w:pStyle w:val="aa"/>
        <w:numPr>
          <w:ilvl w:val="0"/>
          <w:numId w:val="5"/>
        </w:numPr>
        <w:tabs>
          <w:tab w:val="clear" w:pos="1789"/>
          <w:tab w:val="clear" w:pos="2575"/>
          <w:tab w:val="clear" w:pos="2858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участвовать в деятельности любого рода, которая может или считается, что она может сказаться на их объективности и независимости;</w:t>
      </w:r>
    </w:p>
    <w:p w14:paraId="4C7A4718" w14:textId="77777777" w:rsidR="00AD5279" w:rsidRPr="005423AA" w:rsidRDefault="00C046D4">
      <w:pPr>
        <w:pStyle w:val="aa"/>
        <w:numPr>
          <w:ilvl w:val="0"/>
          <w:numId w:val="5"/>
        </w:numPr>
        <w:tabs>
          <w:tab w:val="clear" w:pos="1789"/>
          <w:tab w:val="clear" w:pos="2575"/>
          <w:tab w:val="clear" w:pos="2858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использовать конфиденциальную информацию в личных или любых других целях в нарушение законодательства или интересов Группы;</w:t>
      </w:r>
    </w:p>
    <w:p w14:paraId="0A062FA0" w14:textId="77777777" w:rsidR="00AD5279" w:rsidRPr="005423AA" w:rsidRDefault="00C046D4">
      <w:pPr>
        <w:pStyle w:val="aa"/>
        <w:numPr>
          <w:ilvl w:val="0"/>
          <w:numId w:val="5"/>
        </w:numPr>
        <w:tabs>
          <w:tab w:val="clear" w:pos="1789"/>
          <w:tab w:val="clear" w:pos="2575"/>
          <w:tab w:val="clear" w:pos="2858"/>
        </w:tabs>
        <w:ind w:left="850" w:hanging="283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принимать ценности, товары или услуги в дар, которые могут или считается, что они могут повлиять на их профессиональное суждение или считаются такими.</w:t>
      </w:r>
    </w:p>
    <w:p w14:paraId="2A5DC0AD" w14:textId="77777777" w:rsidR="00AD5279" w:rsidRPr="005423AA" w:rsidRDefault="00C046D4">
      <w:pPr>
        <w:pStyle w:val="a0"/>
        <w:rPr>
          <w:sz w:val="23"/>
          <w:szCs w:val="23"/>
        </w:rPr>
      </w:pPr>
      <w:bookmarkStart w:id="8" w:name="_Toc109032317"/>
      <w:r w:rsidRPr="005423AA">
        <w:rPr>
          <w:sz w:val="23"/>
          <w:szCs w:val="23"/>
        </w:rPr>
        <w:t>Обеспечение и оценка качества</w:t>
      </w:r>
      <w:bookmarkEnd w:id="8"/>
    </w:p>
    <w:p w14:paraId="69B5857C" w14:textId="77777777" w:rsidR="00AD5279" w:rsidRPr="005423AA" w:rsidRDefault="00C046D4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Подразделение внутреннего аудита принимает обязательство применять и соблюдать Международные стандарты профессиональной практики внутреннего аудита, устанавливаемые и опубликованные Институтом внутренних аудиторов.</w:t>
      </w:r>
    </w:p>
    <w:p w14:paraId="73CEE1AD" w14:textId="77777777" w:rsidR="00AD5279" w:rsidRPr="005423AA" w:rsidRDefault="00C046D4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Комитет по аудиту осуществляет годовую оценку работы и результатов Подразделения внутреннего аудита. Оценка выполняется путем сопоставления с основными индикаторами результатов деятельности, заблаговременно согласованными с Руководителем Подразделения внутреннего аудита и одобренными Советом директоров.</w:t>
      </w:r>
    </w:p>
    <w:p w14:paraId="62B49ECF" w14:textId="77777777" w:rsidR="00AD5279" w:rsidRPr="005423AA" w:rsidRDefault="00C046D4">
      <w:pPr>
        <w:pStyle w:val="a8"/>
        <w:numPr>
          <w:ilvl w:val="1"/>
          <w:numId w:val="3"/>
        </w:numPr>
        <w:tabs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Руководитель Подразделения внутреннего аудита разрабатывает и реализует программу оценки в рамках Подразделения внутреннего аудита.</w:t>
      </w:r>
    </w:p>
    <w:p w14:paraId="463D59DE" w14:textId="77777777" w:rsidR="00AD5279" w:rsidRPr="005423AA" w:rsidRDefault="00C046D4">
      <w:pPr>
        <w:pStyle w:val="a0"/>
        <w:rPr>
          <w:sz w:val="23"/>
          <w:szCs w:val="23"/>
        </w:rPr>
      </w:pPr>
      <w:r w:rsidRPr="005423AA">
        <w:rPr>
          <w:sz w:val="23"/>
          <w:szCs w:val="23"/>
        </w:rPr>
        <w:t>Заключительные</w:t>
      </w:r>
      <w:bookmarkStart w:id="9" w:name="_Toc109032318"/>
      <w:r w:rsidRPr="005423AA">
        <w:rPr>
          <w:sz w:val="23"/>
          <w:szCs w:val="23"/>
        </w:rPr>
        <w:t xml:space="preserve"> положения</w:t>
      </w:r>
      <w:bookmarkEnd w:id="9"/>
    </w:p>
    <w:p w14:paraId="3AAD7E5A" w14:textId="77777777" w:rsidR="00AD5279" w:rsidRPr="005423AA" w:rsidRDefault="00C046D4">
      <w:pPr>
        <w:pStyle w:val="a8"/>
        <w:numPr>
          <w:ilvl w:val="1"/>
          <w:numId w:val="3"/>
        </w:numPr>
        <w:tabs>
          <w:tab w:val="clear" w:pos="1418"/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 xml:space="preserve"> Руководитель Подразделения внутреннего аудита ежегодно оценивает вопрос о целесообразности внесения изменений в Положение.</w:t>
      </w:r>
    </w:p>
    <w:p w14:paraId="2CD52155" w14:textId="77777777" w:rsidR="00AD5279" w:rsidRPr="005423AA" w:rsidRDefault="00C046D4">
      <w:pPr>
        <w:pStyle w:val="a8"/>
        <w:numPr>
          <w:ilvl w:val="1"/>
          <w:numId w:val="3"/>
        </w:numPr>
        <w:tabs>
          <w:tab w:val="clear" w:pos="1418"/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Инициировать внесение изменений в Положение могут Совет директоров, Комитет по аудиту, руководитель Подразделения внутреннего аудита.</w:t>
      </w:r>
    </w:p>
    <w:p w14:paraId="076C7D2B" w14:textId="77777777" w:rsidR="00AD5279" w:rsidRPr="005423AA" w:rsidRDefault="00C046D4">
      <w:pPr>
        <w:pStyle w:val="a8"/>
        <w:numPr>
          <w:ilvl w:val="1"/>
          <w:numId w:val="3"/>
        </w:numPr>
        <w:tabs>
          <w:tab w:val="clear" w:pos="1418"/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 xml:space="preserve"> Положение, все изменения и дополнения к нему одобряет Совет директоров Общества.</w:t>
      </w:r>
      <w:bookmarkStart w:id="10" w:name="_Toc196820955"/>
    </w:p>
    <w:p w14:paraId="680A9271" w14:textId="77777777" w:rsidR="00AD5279" w:rsidRPr="005423AA" w:rsidRDefault="00C046D4">
      <w:pPr>
        <w:pStyle w:val="a8"/>
        <w:numPr>
          <w:ilvl w:val="1"/>
          <w:numId w:val="3"/>
        </w:numPr>
        <w:tabs>
          <w:tab w:val="clear" w:pos="1418"/>
          <w:tab w:val="left" w:pos="567"/>
        </w:tabs>
        <w:ind w:left="0" w:firstLine="0"/>
        <w:rPr>
          <w:sz w:val="23"/>
          <w:szCs w:val="23"/>
        </w:rPr>
      </w:pPr>
      <w:r w:rsidRPr="005423AA">
        <w:rPr>
          <w:rFonts w:ascii="Times New Roman" w:hAnsi="Times New Roman" w:cs="Times New Roman"/>
          <w:color w:val="auto"/>
          <w:sz w:val="23"/>
          <w:szCs w:val="23"/>
        </w:rPr>
        <w:t>В случае приобретения Обществом публичного статуса Положение продолжает действовать.</w:t>
      </w:r>
      <w:bookmarkEnd w:id="10"/>
    </w:p>
    <w:p w14:paraId="78A0DF40" w14:textId="77777777" w:rsidR="00AD5279" w:rsidRDefault="00AD5279">
      <w:pPr>
        <w:spacing w:before="120" w:after="120"/>
      </w:pPr>
    </w:p>
    <w:sectPr w:rsidR="00AD5279">
      <w:footerReference w:type="default" r:id="rId7"/>
      <w:footerReference w:type="first" r:id="rId8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DCA84" w14:textId="77777777" w:rsidR="00111F67" w:rsidRDefault="00111F67">
      <w:pPr>
        <w:spacing w:after="0" w:line="240" w:lineRule="auto"/>
      </w:pPr>
      <w:r>
        <w:separator/>
      </w:r>
    </w:p>
  </w:endnote>
  <w:endnote w:type="continuationSeparator" w:id="0">
    <w:p w14:paraId="1ED66805" w14:textId="77777777" w:rsidR="00111F67" w:rsidRDefault="0011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Cambria"/>
    <w:panose1 w:val="00000000000000000000"/>
    <w:charset w:val="00"/>
    <w:family w:val="roman"/>
    <w:notTrueType/>
    <w:pitch w:val="default"/>
  </w:font>
  <w:font w:name="Segoe UI">
    <w:altName w:val="Cambria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4049417"/>
      <w:docPartObj>
        <w:docPartGallery w:val="Page Numbers (Bottom of Page)"/>
        <w:docPartUnique/>
      </w:docPartObj>
    </w:sdtPr>
    <w:sdtEndPr/>
    <w:sdtContent>
      <w:p w14:paraId="7F03FCE3" w14:textId="77777777" w:rsidR="00AD5279" w:rsidRDefault="00C046D4">
        <w:pPr>
          <w:pStyle w:val="af3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7097CCF" w14:textId="77777777" w:rsidR="00AD5279" w:rsidRDefault="00AD5279">
    <w:pPr>
      <w:pStyle w:val="af3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84DA" w14:textId="77777777" w:rsidR="00032F5F" w:rsidRDefault="00032F5F" w:rsidP="00032F5F">
    <w:pPr>
      <w:pStyle w:val="1"/>
      <w:spacing w:after="0" w:line="240" w:lineRule="auto"/>
      <w:ind w:left="345" w:right="68" w:firstLine="0"/>
    </w:pPr>
    <w:r>
      <w:t>г. Новосибирск, 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8F33" w14:textId="77777777" w:rsidR="00111F67" w:rsidRDefault="00111F67">
      <w:pPr>
        <w:spacing w:after="0" w:line="240" w:lineRule="auto"/>
      </w:pPr>
      <w:r>
        <w:separator/>
      </w:r>
    </w:p>
  </w:footnote>
  <w:footnote w:type="continuationSeparator" w:id="0">
    <w:p w14:paraId="45167DD2" w14:textId="77777777" w:rsidR="00111F67" w:rsidRDefault="0011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478"/>
    <w:multiLevelType w:val="multilevel"/>
    <w:tmpl w:val="D9C291A8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3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551E4"/>
    <w:multiLevelType w:val="multilevel"/>
    <w:tmpl w:val="D89433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color w:val="A50021"/>
      </w:rPr>
    </w:lvl>
    <w:lvl w:ilvl="1">
      <w:start w:val="1"/>
      <w:numFmt w:val="decimal"/>
      <w:pStyle w:val="a"/>
      <w:lvlText w:val="%1.%2."/>
      <w:lvlJc w:val="left"/>
      <w:pPr>
        <w:tabs>
          <w:tab w:val="num" w:pos="6184"/>
        </w:tabs>
        <w:ind w:left="5536" w:hanging="432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857"/>
        </w:tabs>
        <w:ind w:left="1921" w:hanging="504"/>
      </w:pPr>
      <w:rPr>
        <w:rFonts w:ascii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1641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2919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" w15:restartNumberingAfterBreak="0">
    <w:nsid w:val="29822BFF"/>
    <w:multiLevelType w:val="multilevel"/>
    <w:tmpl w:val="15281F3C"/>
    <w:lvl w:ilvl="0">
      <w:start w:val="1"/>
      <w:numFmt w:val="bullet"/>
      <w:lvlText w:val=""/>
      <w:lvlJc w:val="left"/>
      <w:pPr>
        <w:tabs>
          <w:tab w:val="num" w:pos="0"/>
        </w:tabs>
        <w:ind w:left="24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5849D5"/>
    <w:multiLevelType w:val="multilevel"/>
    <w:tmpl w:val="46E2ACD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D26D5F"/>
    <w:multiLevelType w:val="multilevel"/>
    <w:tmpl w:val="37D692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FBF3BB6"/>
    <w:multiLevelType w:val="multilevel"/>
    <w:tmpl w:val="C6E26A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F12E91"/>
    <w:multiLevelType w:val="multilevel"/>
    <w:tmpl w:val="757C83A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7B0C4B14"/>
    <w:multiLevelType w:val="multilevel"/>
    <w:tmpl w:val="F912E85E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79"/>
    <w:rsid w:val="00021D11"/>
    <w:rsid w:val="00032F5F"/>
    <w:rsid w:val="0003487F"/>
    <w:rsid w:val="00111F67"/>
    <w:rsid w:val="0025515A"/>
    <w:rsid w:val="0030531D"/>
    <w:rsid w:val="005423AA"/>
    <w:rsid w:val="005F4F14"/>
    <w:rsid w:val="00671E82"/>
    <w:rsid w:val="00724B8E"/>
    <w:rsid w:val="007A02DD"/>
    <w:rsid w:val="00840E80"/>
    <w:rsid w:val="008E3015"/>
    <w:rsid w:val="00AD5279"/>
    <w:rsid w:val="00BF3925"/>
    <w:rsid w:val="00C046D4"/>
    <w:rsid w:val="00CC292C"/>
    <w:rsid w:val="00E73811"/>
    <w:rsid w:val="00E92436"/>
    <w:rsid w:val="00F74999"/>
    <w:rsid w:val="00F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B5D5"/>
  <w15:docId w15:val="{B9EEDD0C-9525-2A45-8539-FBE3AACF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pacing w:after="160" w:line="259" w:lineRule="auto"/>
    </w:pPr>
  </w:style>
  <w:style w:type="paragraph" w:styleId="1">
    <w:name w:val="heading 1"/>
    <w:next w:val="a1"/>
    <w:link w:val="10"/>
    <w:uiPriority w:val="9"/>
    <w:unhideWhenUsed/>
    <w:qFormat/>
    <w:rsid w:val="009623DC"/>
    <w:pPr>
      <w:keepNext/>
      <w:keepLines/>
      <w:spacing w:after="180" w:line="25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2"/>
    <w:next w:val="a3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Текст НД Знак"/>
    <w:basedOn w:val="a4"/>
    <w:link w:val="a8"/>
    <w:qFormat/>
    <w:rsid w:val="00200C85"/>
    <w:rPr>
      <w:rFonts w:ascii="Tahoma" w:eastAsia="Times New Roman" w:hAnsi="Tahoma" w:cs="Tahoma"/>
      <w:color w:val="0D0D0D" w:themeColor="text1" w:themeTint="F2"/>
      <w:sz w:val="24"/>
      <w:szCs w:val="24"/>
      <w:lang w:eastAsia="ru-RU"/>
    </w:rPr>
  </w:style>
  <w:style w:type="character" w:customStyle="1" w:styleId="a9">
    <w:name w:val="Подпункты Знак"/>
    <w:basedOn w:val="a4"/>
    <w:link w:val="aa"/>
    <w:qFormat/>
    <w:rsid w:val="00200C85"/>
    <w:rPr>
      <w:rFonts w:ascii="Tahoma" w:eastAsia="Times New Roman" w:hAnsi="Tahoma" w:cs="Tahoma"/>
      <w:color w:val="0D0D0D" w:themeColor="text1" w:themeTint="F2"/>
      <w:sz w:val="24"/>
      <w:szCs w:val="24"/>
      <w:lang w:eastAsia="ru-RU"/>
    </w:rPr>
  </w:style>
  <w:style w:type="character" w:customStyle="1" w:styleId="ab">
    <w:name w:val="Текст НД с отступом на абзац Знак"/>
    <w:basedOn w:val="a4"/>
    <w:link w:val="ac"/>
    <w:qFormat/>
    <w:rsid w:val="00200C85"/>
    <w:rPr>
      <w:rFonts w:ascii="Tahoma" w:eastAsia="Times New Roman" w:hAnsi="Tahoma" w:cs="Tahoma"/>
      <w:b/>
      <w:color w:val="0D0D0D" w:themeColor="text1" w:themeTint="F2"/>
      <w:sz w:val="24"/>
      <w:szCs w:val="24"/>
      <w:lang w:eastAsia="ru-RU"/>
    </w:rPr>
  </w:style>
  <w:style w:type="character" w:styleId="ad">
    <w:name w:val="Emphasis"/>
    <w:basedOn w:val="a4"/>
    <w:qFormat/>
    <w:rsid w:val="00200C85"/>
    <w:rPr>
      <w:rFonts w:ascii="Tahoma" w:hAnsi="Tahoma" w:cs="Tahoma"/>
      <w:iCs/>
      <w:color w:val="000000" w:themeColor="text1"/>
      <w:sz w:val="24"/>
    </w:rPr>
  </w:style>
  <w:style w:type="character" w:customStyle="1" w:styleId="ae">
    <w:name w:val="Абзац списка Знак"/>
    <w:basedOn w:val="a4"/>
    <w:link w:val="af"/>
    <w:uiPriority w:val="34"/>
    <w:qFormat/>
    <w:locked/>
    <w:rsid w:val="00200C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4"/>
    <w:link w:val="1"/>
    <w:uiPriority w:val="9"/>
    <w:qFormat/>
    <w:rsid w:val="009623D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af0">
    <w:name w:val="Верхний колонтитул Знак"/>
    <w:basedOn w:val="a4"/>
    <w:link w:val="af1"/>
    <w:uiPriority w:val="99"/>
    <w:qFormat/>
    <w:rsid w:val="00E04971"/>
  </w:style>
  <w:style w:type="character" w:customStyle="1" w:styleId="af2">
    <w:name w:val="Нижний колонтитул Знак"/>
    <w:basedOn w:val="a4"/>
    <w:link w:val="af3"/>
    <w:uiPriority w:val="99"/>
    <w:qFormat/>
    <w:rsid w:val="00E04971"/>
  </w:style>
  <w:style w:type="character" w:customStyle="1" w:styleId="af4">
    <w:name w:val="Нумерация строк"/>
  </w:style>
  <w:style w:type="character" w:customStyle="1" w:styleId="af5">
    <w:name w:val="Текст примечания Знак"/>
    <w:basedOn w:val="a4"/>
    <w:link w:val="af6"/>
    <w:uiPriority w:val="99"/>
    <w:qFormat/>
    <w:rPr>
      <w:sz w:val="20"/>
      <w:szCs w:val="20"/>
    </w:rPr>
  </w:style>
  <w:style w:type="character" w:styleId="af7">
    <w:name w:val="annotation reference"/>
    <w:basedOn w:val="a4"/>
    <w:uiPriority w:val="99"/>
    <w:semiHidden/>
    <w:unhideWhenUsed/>
    <w:qFormat/>
    <w:rPr>
      <w:sz w:val="16"/>
      <w:szCs w:val="16"/>
    </w:rPr>
  </w:style>
  <w:style w:type="character" w:customStyle="1" w:styleId="af8">
    <w:name w:val="Тема примечания Знак"/>
    <w:basedOn w:val="af5"/>
    <w:link w:val="af9"/>
    <w:uiPriority w:val="99"/>
    <w:semiHidden/>
    <w:qFormat/>
    <w:rsid w:val="00606980"/>
    <w:rPr>
      <w:b/>
      <w:bCs/>
      <w:sz w:val="20"/>
      <w:szCs w:val="20"/>
    </w:rPr>
  </w:style>
  <w:style w:type="character" w:customStyle="1" w:styleId="2">
    <w:name w:val="Заголовок 2 Знак"/>
    <w:qFormat/>
    <w:rPr>
      <w:rFonts w:ascii="Calibri Light" w:eastAsia="0" w:hAnsi="Calibri Light" w:cs="0"/>
      <w:color w:val="2E74B5"/>
      <w:sz w:val="26"/>
      <w:szCs w:val="26"/>
    </w:rPr>
  </w:style>
  <w:style w:type="character" w:customStyle="1" w:styleId="11">
    <w:name w:val="Упомянуть1"/>
    <w:qFormat/>
    <w:rPr>
      <w:rFonts w:ascii="Times New Roman" w:eastAsia="Times New Roman" w:hAnsi="Times New Roman" w:cs="Times New Roman"/>
      <w:color w:val="2B579A"/>
      <w:sz w:val="24"/>
      <w:szCs w:val="24"/>
      <w:shd w:val="clear" w:color="auto" w:fill="E1DFDD"/>
    </w:rPr>
  </w:style>
  <w:style w:type="character" w:customStyle="1" w:styleId="12">
    <w:name w:val="Неразрешенное упоминание1"/>
    <w:qFormat/>
    <w:rPr>
      <w:rFonts w:ascii="Times New Roman" w:eastAsia="Times New Roman" w:hAnsi="Times New Roman" w:cs="Times New Roman"/>
      <w:color w:val="605E5C"/>
      <w:sz w:val="24"/>
      <w:szCs w:val="24"/>
      <w:shd w:val="clear" w:color="auto" w:fill="E1DFDD"/>
    </w:rPr>
  </w:style>
  <w:style w:type="character" w:customStyle="1" w:styleId="afa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styleId="a2">
    <w:name w:val="Title"/>
    <w:basedOn w:val="a1"/>
    <w:next w:val="a3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3">
    <w:name w:val="Body Text"/>
    <w:basedOn w:val="a1"/>
    <w:pPr>
      <w:spacing w:after="140" w:line="276" w:lineRule="auto"/>
    </w:pPr>
  </w:style>
  <w:style w:type="paragraph" w:styleId="afb">
    <w:name w:val="List"/>
    <w:basedOn w:val="a3"/>
    <w:rPr>
      <w:rFonts w:ascii="PT Astra Serif" w:hAnsi="PT Astra Serif" w:cs="FreeSans"/>
    </w:rPr>
  </w:style>
  <w:style w:type="paragraph" w:styleId="afc">
    <w:name w:val="caption"/>
    <w:basedOn w:val="a1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fd">
    <w:name w:val="index heading"/>
    <w:basedOn w:val="a1"/>
    <w:qFormat/>
    <w:pPr>
      <w:suppressLineNumbers/>
    </w:pPr>
    <w:rPr>
      <w:rFonts w:ascii="PT Astra Serif" w:hAnsi="PT Astra Serif" w:cs="FreeSans"/>
    </w:rPr>
  </w:style>
  <w:style w:type="paragraph" w:customStyle="1" w:styleId="a">
    <w:name w:val="Текст нормативного документа"/>
    <w:basedOn w:val="a1"/>
    <w:autoRedefine/>
    <w:qFormat/>
    <w:rsid w:val="00200C85"/>
    <w:pPr>
      <w:numPr>
        <w:ilvl w:val="1"/>
        <w:numId w:val="2"/>
      </w:numPr>
      <w:tabs>
        <w:tab w:val="left" w:pos="1440"/>
      </w:tabs>
      <w:spacing w:before="120" w:after="0" w:line="240" w:lineRule="auto"/>
      <w:ind w:left="0" w:firstLine="720"/>
      <w:jc w:val="both"/>
    </w:pPr>
    <w:rPr>
      <w:rFonts w:ascii="Tahoma" w:eastAsia="Times New Roman" w:hAnsi="Tahoma" w:cs="Tahoma"/>
      <w:b/>
      <w:color w:val="0D0D0D" w:themeColor="text1" w:themeTint="F2"/>
      <w:sz w:val="24"/>
      <w:szCs w:val="24"/>
      <w:lang w:eastAsia="ru-RU"/>
    </w:rPr>
  </w:style>
  <w:style w:type="paragraph" w:customStyle="1" w:styleId="a0">
    <w:name w:val="Заголовок раздела"/>
    <w:basedOn w:val="a"/>
    <w:autoRedefine/>
    <w:qFormat/>
    <w:rsid w:val="00B55330"/>
    <w:pPr>
      <w:numPr>
        <w:ilvl w:val="0"/>
        <w:numId w:val="3"/>
      </w:numPr>
      <w:tabs>
        <w:tab w:val="clear" w:pos="1440"/>
        <w:tab w:val="left" w:pos="284"/>
      </w:tabs>
      <w:spacing w:after="120"/>
      <w:ind w:left="0" w:firstLine="0"/>
      <w:outlineLvl w:val="0"/>
    </w:pPr>
    <w:rPr>
      <w:rFonts w:ascii="Times New Roman" w:hAnsi="Times New Roman" w:cs="Times New Roman"/>
      <w:smallCaps/>
      <w:color w:val="auto"/>
    </w:rPr>
  </w:style>
  <w:style w:type="paragraph" w:customStyle="1" w:styleId="a8">
    <w:name w:val="Текст НД"/>
    <w:basedOn w:val="a"/>
    <w:link w:val="a7"/>
    <w:qFormat/>
    <w:rsid w:val="00200C85"/>
    <w:pPr>
      <w:tabs>
        <w:tab w:val="clear" w:pos="1440"/>
        <w:tab w:val="left" w:pos="1418"/>
      </w:tabs>
      <w:spacing w:after="120"/>
      <w:ind w:left="5536" w:hanging="432"/>
    </w:pPr>
    <w:rPr>
      <w:b w:val="0"/>
    </w:rPr>
  </w:style>
  <w:style w:type="paragraph" w:customStyle="1" w:styleId="aa">
    <w:name w:val="Подпункты"/>
    <w:basedOn w:val="a"/>
    <w:link w:val="a9"/>
    <w:qFormat/>
    <w:rsid w:val="00200C85"/>
    <w:pPr>
      <w:tabs>
        <w:tab w:val="left" w:pos="1789"/>
        <w:tab w:val="left" w:pos="2575"/>
        <w:tab w:val="left" w:pos="2858"/>
      </w:tabs>
      <w:spacing w:after="120"/>
      <w:ind w:firstLine="709"/>
    </w:pPr>
    <w:rPr>
      <w:b w:val="0"/>
    </w:rPr>
  </w:style>
  <w:style w:type="paragraph" w:styleId="af">
    <w:name w:val="List Paragraph"/>
    <w:basedOn w:val="a1"/>
    <w:link w:val="ae"/>
    <w:uiPriority w:val="34"/>
    <w:qFormat/>
    <w:rsid w:val="00200C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НД с отступом на абзац"/>
    <w:basedOn w:val="a1"/>
    <w:link w:val="ab"/>
    <w:qFormat/>
    <w:rsid w:val="00200C85"/>
    <w:pPr>
      <w:spacing w:before="120" w:after="120" w:line="240" w:lineRule="auto"/>
      <w:ind w:firstLine="709"/>
      <w:jc w:val="both"/>
    </w:pPr>
    <w:rPr>
      <w:rFonts w:ascii="Tahoma" w:eastAsia="Times New Roman" w:hAnsi="Tahoma" w:cs="Tahoma"/>
      <w:b/>
      <w:color w:val="0D0D0D" w:themeColor="text1" w:themeTint="F2"/>
      <w:sz w:val="24"/>
      <w:szCs w:val="24"/>
      <w:lang w:eastAsia="ru-RU"/>
    </w:rPr>
  </w:style>
  <w:style w:type="paragraph" w:customStyle="1" w:styleId="1111">
    <w:name w:val="1.1.1.1."/>
    <w:basedOn w:val="aa"/>
    <w:qFormat/>
    <w:rsid w:val="00200C85"/>
    <w:pPr>
      <w:tabs>
        <w:tab w:val="left" w:pos="360"/>
        <w:tab w:val="left" w:pos="1560"/>
      </w:tabs>
    </w:pPr>
  </w:style>
  <w:style w:type="paragraph" w:customStyle="1" w:styleId="11111">
    <w:name w:val="1.1.1.1.1."/>
    <w:basedOn w:val="aa"/>
    <w:qFormat/>
    <w:rsid w:val="00200C85"/>
    <w:pPr>
      <w:tabs>
        <w:tab w:val="left" w:pos="360"/>
        <w:tab w:val="left" w:pos="1843"/>
      </w:tabs>
    </w:pPr>
  </w:style>
  <w:style w:type="paragraph" w:styleId="afe">
    <w:name w:val="Revision"/>
    <w:uiPriority w:val="99"/>
    <w:semiHidden/>
    <w:qFormat/>
    <w:rsid w:val="0041258C"/>
  </w:style>
  <w:style w:type="paragraph" w:customStyle="1" w:styleId="aff">
    <w:name w:val="Колонтитул"/>
    <w:basedOn w:val="a1"/>
    <w:qFormat/>
  </w:style>
  <w:style w:type="paragraph" w:styleId="af1">
    <w:name w:val="header"/>
    <w:basedOn w:val="a1"/>
    <w:link w:val="af0"/>
    <w:uiPriority w:val="99"/>
    <w:unhideWhenUsed/>
    <w:rsid w:val="00E0497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1"/>
    <w:link w:val="af2"/>
    <w:uiPriority w:val="99"/>
    <w:unhideWhenUsed/>
    <w:rsid w:val="00E0497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annotation text"/>
    <w:basedOn w:val="a1"/>
    <w:link w:val="af5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qFormat/>
    <w:rsid w:val="00606980"/>
    <w:rPr>
      <w:b/>
      <w:bCs/>
    </w:rPr>
  </w:style>
  <w:style w:type="paragraph" w:styleId="aff0">
    <w:name w:val="Balloon Text"/>
    <w:basedOn w:val="a1"/>
    <w:qFormat/>
    <w:pPr>
      <w:spacing w:after="0" w:line="240" w:lineRule="exact"/>
      <w:ind w:right="1" w:firstLine="556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dc:description/>
  <cp:lastModifiedBy>Khramova Yulia Valeryevna</cp:lastModifiedBy>
  <cp:revision>2</cp:revision>
  <dcterms:created xsi:type="dcterms:W3CDTF">2024-02-13T07:21:00Z</dcterms:created>
  <dcterms:modified xsi:type="dcterms:W3CDTF">2024-02-13T07:21:00Z</dcterms:modified>
  <dc:language>ru-RU</dc:language>
</cp:coreProperties>
</file>